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F7A3D">
      <w:pPr>
        <w:wordWrap w:val="0"/>
        <w:spacing w:line="580" w:lineRule="exact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0041431E">
      <w:pPr>
        <w:wordWrap w:val="0"/>
        <w:adjustRightInd w:val="0"/>
        <w:snapToGrid w:val="0"/>
        <w:spacing w:before="156" w:beforeLines="50" w:after="312" w:afterLines="100" w:line="700" w:lineRule="exact"/>
        <w:jc w:val="center"/>
        <w:rPr>
          <w:rFonts w:ascii="方正小标宋_GBK" w:hAnsi="方正小标宋_GBK" w:eastAsia="方正小标宋_GBK"/>
          <w:b/>
          <w:bCs/>
          <w:color w:val="000000" w:themeColor="text1"/>
          <w:sz w:val="36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/>
          <w:b/>
          <w:bCs/>
          <w:color w:val="000000" w:themeColor="text1"/>
          <w:sz w:val="36"/>
          <w:szCs w:val="44"/>
          <w14:textFill>
            <w14:solidFill>
              <w14:schemeClr w14:val="tx1"/>
            </w14:solidFill>
          </w14:textFill>
        </w:rPr>
        <w:t>投稿论文要求</w:t>
      </w:r>
    </w:p>
    <w:p w14:paraId="62B877EA">
      <w:pPr>
        <w:widowControl/>
        <w:ind w:left="-283" w:leftChars="-135" w:firstLine="282" w:firstLineChars="101"/>
        <w:jc w:val="lef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选择“学术论文写作”或“案例分析写作”赛道之一参赛。 </w:t>
      </w:r>
    </w:p>
    <w:p w14:paraId="59DD37AE">
      <w:pPr>
        <w:wordWrap w:val="0"/>
        <w:adjustRightInd w:val="0"/>
        <w:snapToGrid w:val="0"/>
        <w:spacing w:line="59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.本次大赛只接受电子版投稿（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PDF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格式）。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投稿时，同一稿件应提供两个版本，其一为清晰说明作者信息的作品版本，其二为隐去作者信息的匿名作品版本。</w:t>
      </w:r>
    </w:p>
    <w:p w14:paraId="16ADF71D">
      <w:pPr>
        <w:wordWrap w:val="0"/>
        <w:adjustRightInd w:val="0"/>
        <w:snapToGrid w:val="0"/>
        <w:spacing w:line="59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.论文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稿件及报名表的邮件请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按规定格式命名。</w:t>
      </w:r>
    </w:p>
    <w:p w14:paraId="2AEDD267">
      <w:pPr>
        <w:wordWrap w:val="0"/>
        <w:adjustRightInd w:val="0"/>
        <w:snapToGrid w:val="0"/>
        <w:spacing w:line="590" w:lineRule="exact"/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论文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格式可参照后附简要模板。</w:t>
      </w:r>
    </w:p>
    <w:p w14:paraId="00AD7C1C">
      <w:pPr>
        <w:widowControl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1A7EE49D">
      <w:pPr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-457200</wp:posOffset>
                </wp:positionV>
                <wp:extent cx="1809750" cy="695325"/>
                <wp:effectExtent l="171450" t="19050" r="38100" b="28575"/>
                <wp:wrapNone/>
                <wp:docPr id="5" name="对话气泡: 椭圆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95325"/>
                        </a:xfrm>
                        <a:prstGeom prst="wedgeEllipseCallout">
                          <a:avLst>
                            <a:gd name="adj1" fmla="val -57896"/>
                            <a:gd name="adj2" fmla="val 390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7E8AA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题目：四号、黑体、不加粗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椭圆形 5" o:spid="_x0000_s1026" o:spt="63" type="#_x0000_t63" style="position:absolute;left:0pt;margin-left:334.65pt;margin-top:-36pt;height:54.75pt;width:142.5pt;z-index:251659264;mso-width-relative:page;mso-height-relative:page;" fillcolor="#FFFFFF" filled="t" stroked="t" coordsize="21600,21600" o:gfxdata="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ted1Q2QAAAAoBAAAPAAAAAAAAAAEAIAAA&#10;ACIAAABkcnMvZG93bnJldi54bWxQSwECFAAUAAAACACHTuJALE5Kkn0CAADsBAAADgAAAAAAAAAB&#10;ACAAAAAoAQAAZHJzL2Uyb0RvYy54bWxQSwUGAAAAAAYABgBZAQAAFwYAAAAA&#10;" adj="-1706,19233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7E8AA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题目：四号、黑体、不加粗</w:t>
                      </w:r>
                    </w:p>
                  </w:txbxContent>
                </v:textbox>
              </v:shape>
            </w:pict>
          </mc:Fallback>
        </mc:AlternateContent>
      </w:r>
      <w:commentRangeStart w:id="0"/>
      <w:r>
        <w:rPr>
          <w:rFonts w:hint="eastAsia" w:ascii="黑体" w:hAnsi="黑体" w:eastAsia="黑体"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400050</wp:posOffset>
                </wp:positionV>
                <wp:extent cx="3409950" cy="971550"/>
                <wp:effectExtent l="19050" t="19050" r="38100" b="38100"/>
                <wp:wrapNone/>
                <wp:docPr id="6" name="对话气泡: 椭圆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971550"/>
                        </a:xfrm>
                        <a:prstGeom prst="wedgeEllipseCallout">
                          <a:avLst>
                            <a:gd name="adj1" fmla="val -45440"/>
                            <a:gd name="adj2" fmla="val 189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FDDF92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作者姓名：楷体，小四，不加粗；姓名与题目和摘要间各空一行。【如为匿名版本，则应隐去作者】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椭圆形 6" o:spid="_x0000_s1026" o:spt="63" type="#_x0000_t63" style="position:absolute;left:0pt;margin-left:235.65pt;margin-top:31.5pt;height:76.5pt;width:268.5pt;z-index:251660288;mso-width-relative:page;mso-height-relative:page;" fillcolor="#FFFFFF" filled="t" stroked="t" coordsize="21600,21600" o:gfxdata="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n/pvrZAAAACwEAAA8AAAAAAAAAAQAg&#10;AAAAIgAAAGRycy9kb3ducmV2LnhtbFBLAQIUABQAAAAIAIdO4kBIXwGIfwIAAOwEAAAOAAAAAAAA&#10;AAEAIAAAACgBAABkcnMvZTJvRG9jLnhtbFBLBQYAAAAABgAGAFkBAAAZBgAAAAA=&#10;" adj="985,1489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DDF92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作者姓名：楷体，小四，不加粗；姓名与题目和摘要间各空一行。【如为匿名版本，则应隐去作者】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消费</w:t>
      </w:r>
      <w:r>
        <w:rPr>
          <w:rFonts w:ascii="黑体" w:hAnsi="黑体" w:eastAsia="黑体"/>
          <w:bCs/>
          <w:color w:val="000000"/>
          <w:sz w:val="28"/>
          <w:szCs w:val="28"/>
        </w:rPr>
        <w:t>民事公益诉讼损害赔偿金分配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路径的</w:t>
      </w:r>
      <w:r>
        <w:rPr>
          <w:rFonts w:ascii="黑体" w:hAnsi="黑体" w:eastAsia="黑体"/>
          <w:bCs/>
          <w:color w:val="000000"/>
          <w:sz w:val="28"/>
          <w:szCs w:val="28"/>
        </w:rPr>
        <w:t>构建</w:t>
      </w:r>
      <w:commentRangeEnd w:id="0"/>
      <w:r>
        <w:rPr>
          <w:rStyle w:val="11"/>
          <w:color w:val="000000"/>
          <w:kern w:val="0"/>
        </w:rPr>
        <w:commentReference w:id="0"/>
      </w:r>
    </w:p>
    <w:p w14:paraId="1115157C">
      <w:pPr>
        <w:jc w:val="center"/>
        <w:rPr>
          <w:rFonts w:hAnsi="宋体"/>
          <w:color w:val="000000"/>
          <w:szCs w:val="21"/>
        </w:rPr>
      </w:pPr>
    </w:p>
    <w:p w14:paraId="70E5E8BC">
      <w:pPr>
        <w:jc w:val="center"/>
        <w:rPr>
          <w:rFonts w:hAnsi="宋体"/>
          <w:color w:val="000000"/>
          <w:szCs w:val="21"/>
        </w:rPr>
      </w:pPr>
      <w:commentRangeStart w:id="1"/>
      <w:r>
        <w:rPr>
          <w:rFonts w:hint="eastAsia" w:ascii="楷体" w:hAnsi="楷体" w:eastAsia="楷体"/>
          <w:color w:val="000000"/>
          <w:sz w:val="24"/>
        </w:rPr>
        <w:t>杜**</w:t>
      </w:r>
      <w:r>
        <w:rPr>
          <w:rStyle w:val="12"/>
          <w:rFonts w:hAnsi="宋体"/>
          <w:color w:val="000000"/>
          <w:szCs w:val="21"/>
        </w:rPr>
        <w:footnoteReference w:id="0" w:customMarkFollows="1"/>
        <w:sym w:font="Symbol" w:char="F02A"/>
      </w:r>
      <w:commentRangeEnd w:id="1"/>
      <w:r>
        <w:rPr>
          <w:rStyle w:val="11"/>
          <w:color w:val="000000"/>
          <w:kern w:val="0"/>
        </w:rPr>
        <w:commentReference w:id="1"/>
      </w:r>
    </w:p>
    <w:p w14:paraId="3F1E5CB6">
      <w:pPr>
        <w:jc w:val="center"/>
        <w:rPr>
          <w:rFonts w:hAnsi="宋体"/>
          <w:color w:val="000000"/>
          <w:szCs w:val="21"/>
        </w:rPr>
      </w:pPr>
    </w:p>
    <w:p w14:paraId="0AD77D46">
      <w:pPr>
        <w:spacing w:line="312" w:lineRule="auto"/>
        <w:ind w:firstLine="420" w:firstLineChars="200"/>
        <w:rPr>
          <w:rFonts w:ascii="宋体" w:hAnsi="宋体"/>
          <w:b/>
          <w:color w:val="000000"/>
          <w:szCs w:val="21"/>
        </w:rPr>
      </w:pPr>
      <w:commentRangeStart w:id="2"/>
      <w:r>
        <w:rPr>
          <w:rFonts w:hint="eastAsia" w:ascii="黑体" w:hAnsi="黑体" w:eastAsia="黑体"/>
          <w:bCs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704850</wp:posOffset>
                </wp:positionV>
                <wp:extent cx="3057525" cy="819150"/>
                <wp:effectExtent l="438150" t="381000" r="28575" b="19050"/>
                <wp:wrapNone/>
                <wp:docPr id="4" name="对话气泡: 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819150"/>
                        </a:xfrm>
                        <a:prstGeom prst="wedgeRoundRectCallout">
                          <a:avLst>
                            <a:gd name="adj1" fmla="val -63045"/>
                            <a:gd name="adj2" fmla="val -9286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0D0A87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“内容摘要”“关键词”：五号，黑体，不加粗</w:t>
                            </w:r>
                          </w:p>
                          <w:p w14:paraId="4B59BF80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摘要与关键词正文：五号、楷体，1</w:t>
                            </w:r>
                            <w:r>
                              <w:rPr>
                                <w:color w:val="FF0000"/>
                              </w:rPr>
                              <w:t>.3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倍行距</w:t>
                            </w:r>
                          </w:p>
                          <w:p w14:paraId="4D145F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4" o:spid="_x0000_s1026" o:spt="62" type="#_x0000_t62" style="position:absolute;left:0pt;margin-left:216.9pt;margin-top:55.5pt;height:64.5pt;width:240.75pt;z-index:251661312;mso-width-relative:page;mso-height-relative:page;" fillcolor="#FFFFFF" filled="t" stroked="t" coordsize="21600,21600" o:gfxdata="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vNI+3ZAAAA&#10;CwEAAA8AAAAAAAAAAQAgAAAAIgAAAGRycy9kb3ducmV2LnhtbFBLAQIUABQAAAAIAIdO4kCetiS+&#10;jgIAABYFAAAOAAAAAAAAAAEAIAAAACgBAABkcnMvZTJvRG9jLnhtbFBLBQYAAAAABgAGAFkBAAAo&#10;BgAAAAA=&#10;" adj="-2818,-9258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C0D0A87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rFonts w:hint="eastAsia"/>
                          <w:color w:val="FF0000"/>
                        </w:rPr>
                        <w:t>“内容摘要”“关键词”：五号，黑体，不加粗</w:t>
                      </w:r>
                    </w:p>
                    <w:p w14:paraId="4B59BF80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rFonts w:hint="eastAsia"/>
                          <w:color w:val="FF0000"/>
                        </w:rPr>
                        <w:t>摘要与关键词正文：五号、楷体，1</w:t>
                      </w:r>
                      <w:r>
                        <w:rPr>
                          <w:color w:val="FF0000"/>
                        </w:rPr>
                        <w:t>.3</w:t>
                      </w:r>
                      <w:r>
                        <w:rPr>
                          <w:rFonts w:hint="eastAsia"/>
                          <w:color w:val="FF0000"/>
                        </w:rPr>
                        <w:t>倍行距</w:t>
                      </w:r>
                    </w:p>
                    <w:p w14:paraId="4D145F0D"/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Cs/>
          <w:color w:val="000000"/>
        </w:rPr>
        <w:t>内容提要：</w:t>
      </w:r>
      <w:commentRangeEnd w:id="2"/>
      <w:r>
        <w:rPr>
          <w:rStyle w:val="11"/>
          <w:color w:val="000000"/>
          <w:kern w:val="0"/>
        </w:rPr>
        <w:commentReference w:id="2"/>
      </w:r>
      <w:r>
        <w:rPr>
          <w:rFonts w:hint="eastAsia" w:ascii="楷体" w:hAnsi="楷体" w:eastAsia="楷体"/>
          <w:color w:val="000000"/>
          <w:szCs w:val="21"/>
        </w:rPr>
        <w:t>将消费民事公益诉讼损害赔偿金上缴国库，初步消解了最高人民法院所担忧的损害赔偿金分配难题。……因此，理想状态下的损害赔偿金分配路径应涵盖……；但囿于路径依赖的“锁定”效应，改造和完善“上缴国库”分配路径则是当下较为现实的进路。</w:t>
      </w:r>
    </w:p>
    <w:p w14:paraId="07EDA107">
      <w:pPr>
        <w:spacing w:line="312" w:lineRule="auto"/>
        <w:ind w:firstLine="420" w:firstLineChars="200"/>
        <w:rPr>
          <w:color w:val="000000"/>
        </w:rPr>
      </w:pPr>
      <w:r>
        <w:rPr>
          <w:rFonts w:hint="eastAsia" w:ascii="黑体" w:hAnsi="黑体" w:eastAsia="黑体"/>
          <w:bCs/>
          <w:color w:val="000000"/>
        </w:rPr>
        <w:t>关键词：</w:t>
      </w:r>
      <w:r>
        <w:rPr>
          <w:rFonts w:hint="eastAsia" w:ascii="楷体" w:hAnsi="楷体" w:eastAsia="楷体"/>
          <w:color w:val="000000"/>
        </w:rPr>
        <w:t>消费民事公益诉讼；损害赔偿金；制度功能；分配路径</w:t>
      </w:r>
    </w:p>
    <w:p w14:paraId="42473EAB">
      <w:pPr>
        <w:jc w:val="center"/>
        <w:rPr>
          <w:b/>
          <w:color w:val="000000"/>
        </w:rPr>
      </w:pPr>
      <w:r>
        <w:rPr>
          <w:b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93980</wp:posOffset>
                </wp:positionV>
                <wp:extent cx="1838325" cy="1028700"/>
                <wp:effectExtent l="0" t="0" r="714375" b="19050"/>
                <wp:wrapNone/>
                <wp:docPr id="3" name="对话气泡: 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1028700"/>
                        </a:xfrm>
                        <a:prstGeom prst="wedgeRoundRectCallout">
                          <a:avLst>
                            <a:gd name="adj1" fmla="val 85467"/>
                            <a:gd name="adj2" fmla="val -4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1E9391E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正文一级标题：四号、宋体，不加粗</w:t>
                            </w:r>
                          </w:p>
                          <w:p w14:paraId="3B40EB0C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正文一级标题前后空一行，居中</w:t>
                            </w:r>
                          </w:p>
                          <w:p w14:paraId="4485F9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3" o:spid="_x0000_s1026" o:spt="62" type="#_x0000_t62" style="position:absolute;left:0pt;margin-left:-17.1pt;margin-top:7.4pt;height:81pt;width:144.75pt;z-index:251662336;mso-width-relative:page;mso-height-relative:page;" fillcolor="#FFFFFF" filled="t" stroked="t" coordsize="21600,21600" o:gfxdata="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FtgZFdoA&#10;AAAKAQAADwAAAAAAAAABACAAAAAiAAAAZHJzL2Rvd25yZXYueG1sUEsBAhQAFAAAAAgAh07iQHH3&#10;1jGPAgAAFAUAAA4AAAAAAAAAAQAgAAAAKQEAAGRycy9lMm9Eb2MueG1sUEsFBgAAAAAGAAYAWQEA&#10;ACoGAAAAAA==&#10;" adj="29261,10704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1E9391E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正文一级标题：四号、宋体，不加粗</w:t>
                      </w:r>
                    </w:p>
                    <w:p w14:paraId="3B40EB0C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正文一级标题前后空一行，居中</w:t>
                      </w:r>
                    </w:p>
                    <w:p w14:paraId="4485F936"/>
                  </w:txbxContent>
                </v:textbox>
              </v:shape>
            </w:pict>
          </mc:Fallback>
        </mc:AlternateContent>
      </w:r>
    </w:p>
    <w:p w14:paraId="423BF7A5">
      <w:pPr>
        <w:spacing w:line="312" w:lineRule="auto"/>
        <w:jc w:val="center"/>
        <w:rPr>
          <w:b/>
          <w:color w:val="000000"/>
        </w:rPr>
      </w:pPr>
    </w:p>
    <w:p w14:paraId="11984066">
      <w:pPr>
        <w:spacing w:line="312" w:lineRule="auto"/>
        <w:jc w:val="center"/>
        <w:rPr>
          <w:bCs/>
          <w:color w:val="000000"/>
          <w:sz w:val="28"/>
          <w:szCs w:val="28"/>
        </w:rPr>
      </w:pPr>
      <w:commentRangeStart w:id="3"/>
      <w:r>
        <w:rPr>
          <w:rFonts w:hint="eastAsia"/>
          <w:bCs/>
          <w:color w:val="000000"/>
          <w:sz w:val="28"/>
          <w:szCs w:val="28"/>
        </w:rPr>
        <w:t>一</w:t>
      </w:r>
      <w:r>
        <w:rPr>
          <w:bCs/>
          <w:color w:val="000000"/>
          <w:sz w:val="28"/>
          <w:szCs w:val="28"/>
        </w:rPr>
        <w:t>、问题的提出</w:t>
      </w:r>
      <w:commentRangeEnd w:id="3"/>
      <w:r>
        <w:rPr>
          <w:rStyle w:val="11"/>
          <w:color w:val="000000"/>
          <w:kern w:val="0"/>
        </w:rPr>
        <w:commentReference w:id="3"/>
      </w:r>
    </w:p>
    <w:p w14:paraId="18EB3929">
      <w:pPr>
        <w:spacing w:line="312" w:lineRule="auto"/>
        <w:ind w:firstLine="420" w:firstLineChars="200"/>
        <w:rPr>
          <w:color w:val="000000"/>
        </w:rPr>
      </w:pPr>
    </w:p>
    <w:p w14:paraId="12FCA4E7">
      <w:pPr>
        <w:spacing w:line="312" w:lineRule="auto"/>
        <w:ind w:firstLine="420" w:firstLineChars="200"/>
        <w:rPr>
          <w:rFonts w:hAnsi="宋体"/>
          <w:color w:val="000000"/>
        </w:rPr>
      </w:pPr>
      <w:commentRangeStart w:id="4"/>
      <w:r>
        <w:rPr>
          <w:rFonts w:hint="eastAsia"/>
          <w:color w:val="000000"/>
        </w:rPr>
        <w:t>2018年5月9日，广东省消委会</w:t>
      </w:r>
      <w:r>
        <w:rPr>
          <w:color w:val="000000"/>
        </w:rPr>
        <w:t>提起</w:t>
      </w:r>
      <w:r>
        <w:rPr>
          <w:rFonts w:hint="eastAsia"/>
          <w:color w:val="000000"/>
        </w:rPr>
        <w:t>的全国</w:t>
      </w:r>
      <w:r>
        <w:rPr>
          <w:color w:val="000000"/>
        </w:rPr>
        <w:t>首例胜诉</w:t>
      </w:r>
      <w:r>
        <w:rPr>
          <w:rFonts w:hint="eastAsia"/>
          <w:color w:val="000000"/>
        </w:rPr>
        <w:t>的消费</w:t>
      </w:r>
      <w:r>
        <w:rPr>
          <w:color w:val="000000"/>
        </w:rPr>
        <w:t>民事</w:t>
      </w:r>
      <w:r>
        <w:rPr>
          <w:rFonts w:hint="eastAsia"/>
          <w:color w:val="000000"/>
        </w:rPr>
        <w:t>公益</w:t>
      </w:r>
      <w:r>
        <w:rPr>
          <w:color w:val="000000"/>
        </w:rPr>
        <w:t>赔偿</w:t>
      </w:r>
      <w:r>
        <w:rPr>
          <w:rFonts w:hint="eastAsia"/>
          <w:color w:val="000000"/>
        </w:rPr>
        <w:t>之诉案的</w:t>
      </w:r>
      <w:r>
        <w:rPr>
          <w:color w:val="000000"/>
        </w:rPr>
        <w:t>判</w:t>
      </w:r>
      <w:commentRangeEnd w:id="4"/>
      <w:r>
        <w:rPr>
          <w:rStyle w:val="11"/>
          <w:color w:val="000000"/>
          <w:kern w:val="0"/>
        </w:rPr>
        <w:commentReference w:id="4"/>
      </w:r>
      <w:r>
        <w:rPr>
          <w:color w:val="000000"/>
        </w:rPr>
        <w:t>决甫一问世，</w:t>
      </w:r>
      <w:r>
        <w:rPr>
          <w:rFonts w:hint="eastAsia"/>
          <w:color w:val="000000"/>
        </w:rPr>
        <w:t>即</w:t>
      </w:r>
      <w:r>
        <w:rPr>
          <w:color w:val="000000"/>
        </w:rPr>
        <w:t>引起</w:t>
      </w:r>
      <w:r>
        <w:rPr>
          <w:rFonts w:hint="eastAsia"/>
          <w:color w:val="000000"/>
        </w:rPr>
        <w:t>社会各界</w:t>
      </w:r>
      <w:r>
        <w:rPr>
          <w:color w:val="000000"/>
        </w:rPr>
        <w:t>聚焦和赞誉。</w:t>
      </w:r>
      <w:r>
        <w:rPr>
          <w:rFonts w:hint="eastAsia"/>
          <w:color w:val="000000"/>
        </w:rPr>
        <w:t>从社会</w:t>
      </w:r>
      <w:r>
        <w:rPr>
          <w:color w:val="000000"/>
        </w:rPr>
        <w:t>效应角度来看，这一判决</w:t>
      </w:r>
      <w:r>
        <w:rPr>
          <w:rFonts w:hint="eastAsia"/>
          <w:color w:val="000000"/>
        </w:rPr>
        <w:t>助推我国</w:t>
      </w:r>
      <w:r>
        <w:rPr>
          <w:color w:val="000000"/>
        </w:rPr>
        <w:t>消费民事公益诉讼</w:t>
      </w:r>
      <w:r>
        <w:rPr>
          <w:rFonts w:hint="eastAsia"/>
          <w:color w:val="000000"/>
        </w:rPr>
        <w:t>实践</w:t>
      </w:r>
      <w:r>
        <w:rPr>
          <w:rFonts w:hint="eastAsia" w:hAnsi="宋体"/>
          <w:color w:val="000000"/>
        </w:rPr>
        <w:t>“取得</w:t>
      </w:r>
      <w:r>
        <w:rPr>
          <w:rFonts w:hAnsi="宋体"/>
          <w:color w:val="000000"/>
        </w:rPr>
        <w:t>重大突破”</w:t>
      </w:r>
      <w:r>
        <w:rPr>
          <w:rFonts w:hint="eastAsia" w:hAnsi="宋体"/>
          <w:color w:val="000000"/>
        </w:rPr>
        <w:t>；</w:t>
      </w:r>
      <w:commentRangeStart w:id="5"/>
      <w:r>
        <w:rPr>
          <w:rStyle w:val="12"/>
          <w:rFonts w:hAnsi="宋体"/>
          <w:color w:val="000000"/>
        </w:rPr>
        <w:footnoteReference w:id="1"/>
      </w:r>
      <w:commentRangeEnd w:id="5"/>
      <w:r>
        <w:rPr>
          <w:rStyle w:val="11"/>
          <w:color w:val="000000"/>
          <w:kern w:val="0"/>
        </w:rPr>
        <w:commentReference w:id="5"/>
      </w:r>
      <w:r>
        <w:rPr>
          <w:rFonts w:hint="eastAsia" w:hAnsi="宋体"/>
          <w:color w:val="000000"/>
        </w:rPr>
        <w:t>但</w:t>
      </w:r>
      <w:r>
        <w:rPr>
          <w:rFonts w:hAnsi="宋体"/>
          <w:color w:val="000000"/>
        </w:rPr>
        <w:t>从规范构造的角度来看，</w:t>
      </w:r>
      <w:r>
        <w:rPr>
          <w:rFonts w:hint="eastAsia" w:hAnsi="宋体"/>
          <w:color w:val="000000"/>
        </w:rPr>
        <w:t>……</w:t>
      </w:r>
    </w:p>
    <w:p w14:paraId="014EDE94">
      <w:pPr>
        <w:spacing w:line="312" w:lineRule="auto"/>
        <w:ind w:firstLine="420" w:firstLineChars="200"/>
        <w:rPr>
          <w:rFonts w:hAnsi="宋体"/>
          <w:color w:val="000000"/>
        </w:rPr>
      </w:pPr>
    </w:p>
    <w:p w14:paraId="49BD9122">
      <w:pPr>
        <w:spacing w:line="312" w:lineRule="auto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二、“上缴</w:t>
      </w:r>
      <w:r>
        <w:rPr>
          <w:bCs/>
          <w:color w:val="000000"/>
          <w:sz w:val="28"/>
          <w:szCs w:val="28"/>
        </w:rPr>
        <w:t>国库</w:t>
      </w:r>
      <w:r>
        <w:rPr>
          <w:rFonts w:hint="eastAsia"/>
          <w:bCs/>
          <w:color w:val="000000"/>
          <w:sz w:val="28"/>
          <w:szCs w:val="28"/>
        </w:rPr>
        <w:t>”</w:t>
      </w:r>
      <w:r>
        <w:rPr>
          <w:bCs/>
          <w:color w:val="000000"/>
          <w:sz w:val="28"/>
          <w:szCs w:val="28"/>
        </w:rPr>
        <w:t>分配</w:t>
      </w:r>
      <w:r>
        <w:rPr>
          <w:rFonts w:hint="eastAsia"/>
          <w:bCs/>
          <w:color w:val="000000"/>
          <w:sz w:val="28"/>
          <w:szCs w:val="28"/>
        </w:rPr>
        <w:t>路径</w:t>
      </w:r>
      <w:r>
        <w:rPr>
          <w:bCs/>
          <w:color w:val="000000"/>
          <w:sz w:val="28"/>
          <w:szCs w:val="28"/>
        </w:rPr>
        <w:t>生成</w:t>
      </w:r>
      <w:r>
        <w:rPr>
          <w:rFonts w:hint="eastAsia"/>
          <w:bCs/>
          <w:color w:val="000000"/>
          <w:sz w:val="28"/>
          <w:szCs w:val="28"/>
        </w:rPr>
        <w:t>机理阐释</w:t>
      </w:r>
    </w:p>
    <w:p w14:paraId="08759621">
      <w:pPr>
        <w:spacing w:line="312" w:lineRule="auto"/>
        <w:ind w:firstLine="420" w:firstLineChars="200"/>
        <w:rPr>
          <w:color w:val="000000"/>
        </w:rPr>
      </w:pPr>
    </w:p>
    <w:p w14:paraId="220D2796">
      <w:pPr>
        <w:spacing w:line="312" w:lineRule="auto"/>
        <w:ind w:firstLine="420" w:firstLineChars="200"/>
      </w:pPr>
      <w:r>
        <w:rPr>
          <w:rFonts w:hint="eastAsia"/>
          <w:color w:val="000000"/>
        </w:rPr>
        <w:t>从规范层面</w:t>
      </w:r>
      <w:r>
        <w:rPr>
          <w:color w:val="000000"/>
        </w:rPr>
        <w:t>来看，</w:t>
      </w:r>
      <w:r>
        <w:rPr>
          <w:rFonts w:hint="eastAsia"/>
          <w:color w:val="000000"/>
        </w:rPr>
        <w:t>广州</w:t>
      </w:r>
      <w:r>
        <w:rPr>
          <w:color w:val="000000"/>
        </w:rPr>
        <w:t>中院直接</w:t>
      </w:r>
      <w:r>
        <w:rPr>
          <w:rFonts w:hint="eastAsia"/>
          <w:color w:val="000000"/>
        </w:rPr>
        <w:t>将广东</w:t>
      </w:r>
      <w:r>
        <w:rPr>
          <w:color w:val="000000"/>
        </w:rPr>
        <w:t>消委会主张的</w:t>
      </w:r>
      <w:r>
        <w:rPr>
          <w:rFonts w:hint="eastAsia"/>
          <w:color w:val="000000"/>
        </w:rPr>
        <w:t>惩罚性</w:t>
      </w:r>
      <w:r>
        <w:rPr>
          <w:color w:val="000000"/>
        </w:rPr>
        <w:t>赔偿金上缴国库的做法</w:t>
      </w:r>
      <w:r>
        <w:rPr>
          <w:rFonts w:hint="eastAsia"/>
          <w:color w:val="000000"/>
        </w:rPr>
        <w:t>，</w:t>
      </w:r>
      <w:r>
        <w:rPr>
          <w:color w:val="000000"/>
        </w:rPr>
        <w:t>并无</w:t>
      </w:r>
      <w:r>
        <w:rPr>
          <w:rFonts w:hint="eastAsia"/>
          <w:color w:val="000000"/>
        </w:rPr>
        <w:t>直接</w:t>
      </w:r>
      <w:r>
        <w:rPr>
          <w:color w:val="000000"/>
        </w:rPr>
        <w:t>法律依据。</w:t>
      </w:r>
      <w:r>
        <w:rPr>
          <w:rFonts w:hint="eastAsia"/>
          <w:color w:val="000000"/>
        </w:rPr>
        <w:t>然而，</w:t>
      </w:r>
      <w:r>
        <w:rPr>
          <w:color w:val="000000"/>
        </w:rPr>
        <w:t>在制度文本付之阙如的背景下，广州中院仍然能够做出</w:t>
      </w:r>
      <w:r>
        <w:rPr>
          <w:rFonts w:hint="eastAsia"/>
          <w:color w:val="000000"/>
        </w:rPr>
        <w:t>为人称道</w:t>
      </w:r>
      <w:r>
        <w:rPr>
          <w:color w:val="000000"/>
        </w:rPr>
        <w:t>的胜诉判决，</w:t>
      </w:r>
      <w:r>
        <w:rPr>
          <w:rStyle w:val="12"/>
          <w:color w:val="000000"/>
        </w:rPr>
        <w:footnoteReference w:id="2"/>
      </w:r>
      <w:r>
        <w:rPr>
          <w:rFonts w:hint="eastAsia"/>
          <w:color w:val="000000"/>
        </w:rPr>
        <w:t>超越规范</w:t>
      </w:r>
      <w:r>
        <w:rPr>
          <w:color w:val="000000"/>
        </w:rPr>
        <w:t>层面的</w:t>
      </w:r>
      <w:r>
        <w:rPr>
          <w:rFonts w:hint="eastAsia"/>
          <w:color w:val="000000"/>
        </w:rPr>
        <w:t>因素</w:t>
      </w:r>
      <w:r>
        <w:rPr>
          <w:color w:val="000000"/>
        </w:rPr>
        <w:t>显然发挥了重要的助推作用。</w:t>
      </w:r>
      <w:r>
        <w:rPr>
          <w:rFonts w:hint="eastAsia"/>
          <w:color w:val="000000"/>
        </w:rPr>
        <w:t>那么，究竟是</w:t>
      </w:r>
      <w:r>
        <w:rPr>
          <w:color w:val="000000"/>
        </w:rPr>
        <w:t>何种原因促使广</w:t>
      </w:r>
      <w:r>
        <w:rPr>
          <w:rFonts w:hint="eastAsia"/>
          <w:color w:val="000000"/>
        </w:rPr>
        <w:t>……</w:t>
      </w:r>
    </w:p>
    <w:p w14:paraId="6DB476C9">
      <w:pPr>
        <w:wordWrap w:val="0"/>
        <w:adjustRightInd w:val="0"/>
        <w:snapToGrid w:val="0"/>
        <w:spacing w:line="590" w:lineRule="exact"/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166370</wp:posOffset>
                </wp:positionV>
                <wp:extent cx="2667000" cy="1028700"/>
                <wp:effectExtent l="19050" t="400050" r="38100" b="38100"/>
                <wp:wrapNone/>
                <wp:docPr id="2" name="对话气泡: 椭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028700"/>
                        </a:xfrm>
                        <a:prstGeom prst="wedgeEllipseCallout">
                          <a:avLst>
                            <a:gd name="adj1" fmla="val -40741"/>
                            <a:gd name="adj2" fmla="val -859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F01A6A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正文：五号，宋体，1</w:t>
                            </w:r>
                            <w:r>
                              <w:rPr>
                                <w:color w:val="FF0000"/>
                              </w:rPr>
                              <w:t>.3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倍行距；首行缩进2字符；两端对齐；段前0行，段后0行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椭圆形 2" o:spid="_x0000_s1026" o:spt="63" type="#_x0000_t63" style="position:absolute;left:0pt;margin-left:204.15pt;margin-top:13.1pt;height:81pt;width:210pt;z-index:251663360;mso-width-relative:page;mso-height-relative:page;" fillcolor="#FFFFFF" filled="t" stroked="t" coordsize="21600,21600" o:gfxdata="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ONlXg1gAAAAoBAAAPAAAAAAAA&#10;AAEAIAAAACIAAABkcnMvZG93bnJldi54bWxQSwECFAAUAAAACACHTuJAH7uRo4YCAADuBAAADgAA&#10;AAAAAAABACAAAAAlAQAAZHJzL2Uyb0RvYy54bWxQSwUGAAAAAAYABgBZAQAAHQYAAAAA&#10;" adj="2000,-7755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F01A6A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正文：五号，宋体，1</w:t>
                      </w:r>
                      <w:r>
                        <w:rPr>
                          <w:color w:val="FF0000"/>
                        </w:rPr>
                        <w:t>.3</w:t>
                      </w:r>
                      <w:r>
                        <w:rPr>
                          <w:rFonts w:hint="eastAsia"/>
                          <w:color w:val="FF0000"/>
                        </w:rPr>
                        <w:t>倍行距；首行缩进2字符；两端对齐；段前0行，段后0行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1680845</wp:posOffset>
                </wp:positionV>
                <wp:extent cx="3067050" cy="914400"/>
                <wp:effectExtent l="9525" t="12700" r="9525" b="263525"/>
                <wp:wrapNone/>
                <wp:docPr id="1" name="对话气泡: 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914400"/>
                        </a:xfrm>
                        <a:prstGeom prst="wedgeRoundRectCallout">
                          <a:avLst>
                            <a:gd name="adj1" fmla="val -45259"/>
                            <a:gd name="adj2" fmla="val 76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2F774B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脚注：采用阿拉伯数字，全文连续编号，脚注内容与格式参照《法学引注手册》。</w:t>
                            </w:r>
                          </w:p>
                          <w:p w14:paraId="75006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1" o:spid="_x0000_s1026" o:spt="62" type="#_x0000_t62" style="position:absolute;left:0pt;margin-left:198pt;margin-top:132.35pt;height:72pt;width:241.5pt;z-index:251664384;mso-width-relative:page;mso-height-relative:page;" fillcolor="#FFFFFF" filled="t" stroked="t" coordsize="21600,21600" o:gfxdata="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vfDygd0AAAALAQAADwAAAAAAAAABACAAAAAiAAAAZHJzL2Rvd25yZXYueG1sUEsBAhQAFAAAAAgA&#10;h07iQJSwxZySAgAAFQUAAA4AAAAAAAAAAQAgAAAALAEAAGRycy9lMm9Eb2MueG1sUEsFBgAAAAAG&#10;AAYAWQEAADAGAAAAAA==&#10;" adj="1024,27270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2F774B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脚注：采用阿拉伯数字，全文连续编号，脚注内容与格式参照《法学引注手册》。</w:t>
                      </w:r>
                    </w:p>
                    <w:p w14:paraId="75006843"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991" w:bottom="1440" w:left="179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杜 乐其" w:date="2024-09-21T09:35:00Z" w:initials="杜">
    <w:p w14:paraId="0A0F6361">
      <w:pPr>
        <w:pStyle w:val="2"/>
      </w:pPr>
      <w:r>
        <w:rPr>
          <w:rFonts w:hint="eastAsia"/>
        </w:rPr>
        <w:t>论文题目：四号、黑体，不加粗</w:t>
      </w:r>
    </w:p>
  </w:comment>
  <w:comment w:id="1" w:author="杜 乐其" w:date="2024-09-21T09:36:00Z" w:initials="杜">
    <w:p w14:paraId="0B642841">
      <w:pPr>
        <w:pStyle w:val="2"/>
      </w:pPr>
      <w:r>
        <w:rPr>
          <w:rFonts w:hint="eastAsia"/>
        </w:rPr>
        <w:t>作者姓名：楷体，小四，不加粗；姓名与题目和摘要间各空一行</w:t>
      </w:r>
    </w:p>
  </w:comment>
  <w:comment w:id="2" w:author="杜 乐其" w:date="2024-09-21T09:37:00Z" w:initials="杜">
    <w:p w14:paraId="1C68F8F1">
      <w:pPr>
        <w:pStyle w:val="2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“内容摘要”“关键词”：五号，黑体，不加粗</w:t>
      </w:r>
    </w:p>
    <w:p w14:paraId="0222F94A">
      <w:pPr>
        <w:pStyle w:val="2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摘要与关键词正文：五号、楷体，1</w:t>
      </w:r>
      <w:r>
        <w:t>.3</w:t>
      </w:r>
      <w:r>
        <w:rPr>
          <w:rFonts w:hint="eastAsia"/>
        </w:rPr>
        <w:t>倍行距</w:t>
      </w:r>
    </w:p>
  </w:comment>
  <w:comment w:id="3" w:author="杜 乐其" w:date="2024-09-21T09:38:00Z" w:initials="杜">
    <w:p w14:paraId="12C24727">
      <w:pPr>
        <w:pStyle w:val="2"/>
      </w:pPr>
      <w:r>
        <w:rPr>
          <w:rFonts w:hint="eastAsia"/>
        </w:rPr>
        <w:t>正文一级标题：四号、宋体，不加粗</w:t>
      </w:r>
    </w:p>
    <w:p w14:paraId="423070A5">
      <w:pPr>
        <w:pStyle w:val="2"/>
      </w:pPr>
      <w:r>
        <w:rPr>
          <w:rFonts w:hint="eastAsia"/>
        </w:rPr>
        <w:t>正文一级标题前后空一行，居中</w:t>
      </w:r>
    </w:p>
  </w:comment>
  <w:comment w:id="4" w:author="杜 乐其" w:date="2024-09-21T09:39:00Z" w:initials="杜">
    <w:p w14:paraId="575E53BD">
      <w:pPr>
        <w:pStyle w:val="2"/>
      </w:pPr>
      <w:r>
        <w:rPr>
          <w:rFonts w:hint="eastAsia"/>
        </w:rPr>
        <w:t>正文：五号，宋体，1</w:t>
      </w:r>
      <w:r>
        <w:t>.3</w:t>
      </w:r>
      <w:r>
        <w:rPr>
          <w:rFonts w:hint="eastAsia"/>
        </w:rPr>
        <w:t>倍行距</w:t>
      </w:r>
    </w:p>
  </w:comment>
  <w:comment w:id="5" w:author="杜 乐其" w:date="2024-09-21T09:40:00Z" w:initials="杜">
    <w:p w14:paraId="58BF65C8">
      <w:pPr>
        <w:pStyle w:val="2"/>
      </w:pPr>
      <w:r>
        <w:rPr>
          <w:rFonts w:hint="eastAsia"/>
        </w:rPr>
        <w:t>脚注：采用阿拉伯数字，全文连续编号，脚注中内容保持默认格式，脚注内容与格式参照《法学引注手册》。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A0F6361" w15:done="0"/>
  <w15:commentEx w15:paraId="0B642841" w15:done="0"/>
  <w15:commentEx w15:paraId="0222F94A" w15:done="0"/>
  <w15:commentEx w15:paraId="423070A5" w15:done="0"/>
  <w15:commentEx w15:paraId="575E53BD" w15:done="0"/>
  <w15:commentEx w15:paraId="58BF65C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677FDCC8">
      <w:pPr>
        <w:pStyle w:val="6"/>
      </w:pPr>
      <w:r>
        <w:rPr>
          <w:rStyle w:val="12"/>
        </w:rPr>
        <w:sym w:font="Symbol" w:char="F02A"/>
      </w:r>
      <w:r>
        <w:t xml:space="preserve"> </w:t>
      </w:r>
      <w:r>
        <w:rPr>
          <w:rFonts w:hint="eastAsia"/>
          <w:b/>
        </w:rPr>
        <w:t>作者</w:t>
      </w:r>
      <w:r>
        <w:rPr>
          <w:b/>
        </w:rPr>
        <w:t>简介：</w:t>
      </w:r>
      <w:r>
        <w:t>杜</w:t>
      </w:r>
      <w:r>
        <w:rPr>
          <w:rFonts w:hint="eastAsia"/>
        </w:rPr>
        <w:t>**，**</w:t>
      </w:r>
      <w:r>
        <w:t>大学法学院</w:t>
      </w:r>
      <w:r>
        <w:rPr>
          <w:rFonts w:hint="eastAsia"/>
        </w:rPr>
        <w:t>法律硕士研究生，联系方式……</w:t>
      </w:r>
      <w:r>
        <w:t>。</w:t>
      </w:r>
      <w:r>
        <w:rPr>
          <w:rFonts w:hint="eastAsia"/>
          <w:color w:val="FF0000"/>
        </w:rPr>
        <w:t>【匿名版本应隐去作者信息】</w:t>
      </w:r>
    </w:p>
  </w:footnote>
  <w:footnote w:id="1">
    <w:p w14:paraId="2F45E0E4">
      <w:pPr>
        <w:pStyle w:val="6"/>
      </w:pPr>
      <w:r>
        <w:rPr>
          <w:rStyle w:val="12"/>
        </w:rPr>
        <w:footnoteRef/>
      </w:r>
      <w:r>
        <w:t xml:space="preserve"> </w:t>
      </w:r>
      <w:r>
        <w:rPr>
          <w:rFonts w:hint="eastAsia"/>
        </w:rPr>
        <w:t>参见李青山：《惩罚性赔偿</w:t>
      </w:r>
      <w:r>
        <w:t>公益诉讼在广东取得重大突破</w:t>
      </w:r>
      <w:r>
        <w:rPr>
          <w:rFonts w:hint="eastAsia"/>
        </w:rPr>
        <w:t>》，《中国消费者报》201</w:t>
      </w:r>
      <w:r>
        <w:t>8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</w:t>
      </w:r>
      <w:r>
        <w:t>9</w:t>
      </w:r>
      <w:r>
        <w:rPr>
          <w:rFonts w:hint="eastAsia"/>
        </w:rPr>
        <w:t>日，第1版。</w:t>
      </w:r>
    </w:p>
  </w:footnote>
  <w:footnote w:id="2">
    <w:p w14:paraId="26D14473">
      <w:pPr>
        <w:pStyle w:val="6"/>
      </w:pPr>
      <w:r>
        <w:rPr>
          <w:rStyle w:val="12"/>
        </w:rPr>
        <w:footnoteRef/>
      </w:r>
      <w:r>
        <w:t xml:space="preserve"> </w:t>
      </w:r>
      <w:r>
        <w:rPr>
          <w:rFonts w:hint="eastAsia"/>
        </w:rPr>
        <w:t>王青山：《民事公益诉讼惩罚性赔偿研究》，《法学研究》2</w:t>
      </w:r>
      <w:r>
        <w:t>023</w:t>
      </w:r>
      <w:r>
        <w:rPr>
          <w:rFonts w:hint="eastAsia"/>
        </w:rPr>
        <w:t>年第6期，第*页。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杜 乐其">
    <w15:presenceInfo w15:providerId="None" w15:userId="杜 乐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8B"/>
    <w:rsid w:val="000036A4"/>
    <w:rsid w:val="00012BDD"/>
    <w:rsid w:val="00016B68"/>
    <w:rsid w:val="00022843"/>
    <w:rsid w:val="00035A67"/>
    <w:rsid w:val="00063200"/>
    <w:rsid w:val="000761C5"/>
    <w:rsid w:val="001104C3"/>
    <w:rsid w:val="00133D94"/>
    <w:rsid w:val="00150EA7"/>
    <w:rsid w:val="00190B6E"/>
    <w:rsid w:val="001C575D"/>
    <w:rsid w:val="001E5448"/>
    <w:rsid w:val="002370CF"/>
    <w:rsid w:val="00242A75"/>
    <w:rsid w:val="00252D96"/>
    <w:rsid w:val="002643D1"/>
    <w:rsid w:val="0027024E"/>
    <w:rsid w:val="002950B8"/>
    <w:rsid w:val="002B6A00"/>
    <w:rsid w:val="002C5CE0"/>
    <w:rsid w:val="002C6586"/>
    <w:rsid w:val="002E68CA"/>
    <w:rsid w:val="00346D70"/>
    <w:rsid w:val="003623B2"/>
    <w:rsid w:val="00370A52"/>
    <w:rsid w:val="00393469"/>
    <w:rsid w:val="003A6546"/>
    <w:rsid w:val="003E3433"/>
    <w:rsid w:val="003E5223"/>
    <w:rsid w:val="003E7E62"/>
    <w:rsid w:val="003F1790"/>
    <w:rsid w:val="003F793B"/>
    <w:rsid w:val="00437CDF"/>
    <w:rsid w:val="00437DF8"/>
    <w:rsid w:val="00471050"/>
    <w:rsid w:val="00481B49"/>
    <w:rsid w:val="00511663"/>
    <w:rsid w:val="005534E1"/>
    <w:rsid w:val="00555DAA"/>
    <w:rsid w:val="00567E8B"/>
    <w:rsid w:val="005B58D3"/>
    <w:rsid w:val="005E5E54"/>
    <w:rsid w:val="005F2376"/>
    <w:rsid w:val="00610396"/>
    <w:rsid w:val="00612CCA"/>
    <w:rsid w:val="00642A30"/>
    <w:rsid w:val="006548EB"/>
    <w:rsid w:val="006A0CA8"/>
    <w:rsid w:val="007117EA"/>
    <w:rsid w:val="007606E7"/>
    <w:rsid w:val="00803A00"/>
    <w:rsid w:val="008369E0"/>
    <w:rsid w:val="008575D5"/>
    <w:rsid w:val="00890187"/>
    <w:rsid w:val="008B7E74"/>
    <w:rsid w:val="008E50FF"/>
    <w:rsid w:val="009020EF"/>
    <w:rsid w:val="0090635A"/>
    <w:rsid w:val="0091276D"/>
    <w:rsid w:val="00932E1C"/>
    <w:rsid w:val="00937BDC"/>
    <w:rsid w:val="00940F0C"/>
    <w:rsid w:val="00993F41"/>
    <w:rsid w:val="009D5342"/>
    <w:rsid w:val="00AF70B0"/>
    <w:rsid w:val="00B11220"/>
    <w:rsid w:val="00B45204"/>
    <w:rsid w:val="00B6723D"/>
    <w:rsid w:val="00B84F5E"/>
    <w:rsid w:val="00B95209"/>
    <w:rsid w:val="00BB456B"/>
    <w:rsid w:val="00BC437B"/>
    <w:rsid w:val="00BF1529"/>
    <w:rsid w:val="00C10F13"/>
    <w:rsid w:val="00C25189"/>
    <w:rsid w:val="00C53FA2"/>
    <w:rsid w:val="00C86DC3"/>
    <w:rsid w:val="00C930C4"/>
    <w:rsid w:val="00C977D2"/>
    <w:rsid w:val="00CA5144"/>
    <w:rsid w:val="00CA70D1"/>
    <w:rsid w:val="00D01903"/>
    <w:rsid w:val="00D57ACA"/>
    <w:rsid w:val="00D91246"/>
    <w:rsid w:val="00D92015"/>
    <w:rsid w:val="00DD1CBD"/>
    <w:rsid w:val="00DD714D"/>
    <w:rsid w:val="00DF2ACD"/>
    <w:rsid w:val="00E94457"/>
    <w:rsid w:val="00EA1FA6"/>
    <w:rsid w:val="00EB2071"/>
    <w:rsid w:val="00EF0398"/>
    <w:rsid w:val="00F1345E"/>
    <w:rsid w:val="00F2184D"/>
    <w:rsid w:val="00F7142D"/>
    <w:rsid w:val="17C735FF"/>
    <w:rsid w:val="3588604B"/>
    <w:rsid w:val="4B9B725E"/>
    <w:rsid w:val="4BE46757"/>
    <w:rsid w:val="66F2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qFormat/>
    <w:uiPriority w:val="99"/>
    <w:pPr>
      <w:jc w:val="left"/>
    </w:pPr>
    <w:rPr>
      <w:rFonts w:ascii="Times New Roman" w:hAnsi="Times New Roman"/>
      <w:color w:val="000000"/>
      <w:kern w:val="0"/>
      <w:szCs w:val="21"/>
    </w:r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5"/>
    <w:unhideWhenUsed/>
    <w:qFormat/>
    <w:uiPriority w:val="0"/>
    <w:pPr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semiHidden/>
    <w:uiPriority w:val="99"/>
    <w:rPr>
      <w:sz w:val="21"/>
      <w:szCs w:val="21"/>
    </w:rPr>
  </w:style>
  <w:style w:type="character" w:styleId="12">
    <w:name w:val="footnote reference"/>
    <w:semiHidden/>
    <w:unhideWhenUsed/>
    <w:qFormat/>
    <w:uiPriority w:val="0"/>
    <w:rPr>
      <w:vertAlign w:val="superscript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脚注文本 字符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8"/>
    <w:link w:val="2"/>
    <w:semiHidden/>
    <w:qFormat/>
    <w:uiPriority w:val="99"/>
    <w:rPr>
      <w:rFonts w:ascii="Times New Roman" w:hAnsi="Times New Roman" w:eastAsia="宋体" w:cs="宋体"/>
      <w:color w:val="000000"/>
      <w:kern w:val="0"/>
      <w:szCs w:val="21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8">
    <w:name w:val="页眉 字符"/>
    <w:basedOn w:val="8"/>
    <w:link w:val="5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9">
    <w:name w:val="页脚 字符"/>
    <w:basedOn w:val="8"/>
    <w:link w:val="4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566</Words>
  <Characters>589</Characters>
  <Lines>4</Lines>
  <Paragraphs>1</Paragraphs>
  <TotalTime>138</TotalTime>
  <ScaleCrop>false</ScaleCrop>
  <LinksUpToDate>false</LinksUpToDate>
  <CharactersWithSpaces>590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2023-09-12T06:55:00Z</dcterms:created>
  <dc:creator>喜鹏 刘</dc:creator>
  <cp:lastModifiedBy>张兆成</cp:lastModifiedBy>
  <cp:lastPrinted>2024-09-22T11:03:00Z</cp:lastPrinted>
  <dcterms:modified xsi:type="dcterms:W3CDTF">2026-09-08T03:26:18Z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eyJoZGlkIjoiNWMzOGFjODUwMWMxMTQ5Y2NhNjg3ZDM2ZDBkNDk2MGIiLCJ1c2VySWQiOiIxNjE1Njc5NzYxIn0=</vt:lpwstr>
  </property>
  <property fmtid="{D5CDD505-2E9C-101B-9397-08002B2CF9AE}" pid="3" name="KSOProductBuildVer">
    <vt:lpwstr>2052-12.1.0.28505</vt:lpwstr>
  </property>
  <property fmtid="{D5CDD505-2E9C-101B-9397-08002B2CF9AE}" pid="4" name="ICV">
    <vt:lpwstr>0B4EE3654AFB498DBEBCFD3119DFE847_13</vt:lpwstr>
  </property>
</Properties>
</file>